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39E" w:rsidRPr="00874ABE" w:rsidRDefault="006E539E" w:rsidP="00BD484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874ABE">
        <w:rPr>
          <w:rFonts w:ascii="Arial" w:hAnsi="Arial" w:cs="Arial"/>
          <w:b/>
          <w:sz w:val="28"/>
          <w:szCs w:val="28"/>
        </w:rPr>
        <w:t xml:space="preserve">Протокол </w:t>
      </w:r>
    </w:p>
    <w:p w:rsidR="006E539E" w:rsidRDefault="006E539E" w:rsidP="00BD484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874ABE">
        <w:rPr>
          <w:rFonts w:ascii="Arial" w:hAnsi="Arial" w:cs="Arial"/>
          <w:b/>
          <w:sz w:val="28"/>
          <w:szCs w:val="28"/>
        </w:rPr>
        <w:t>об итогах</w:t>
      </w:r>
      <w:r w:rsidRPr="00874ABE">
        <w:rPr>
          <w:rFonts w:ascii="Arial" w:hAnsi="Arial" w:cs="Arial"/>
          <w:b/>
          <w:sz w:val="28"/>
          <w:szCs w:val="28"/>
          <w:lang w:val="kk-KZ"/>
        </w:rPr>
        <w:t xml:space="preserve"> закупа способом запроса ценовых предложений</w:t>
      </w:r>
    </w:p>
    <w:p w:rsidR="00BD484F" w:rsidRPr="00BD484F" w:rsidRDefault="00BD484F" w:rsidP="00BD484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E539E" w:rsidRPr="00BD484F" w:rsidRDefault="006E539E" w:rsidP="00BD484F">
      <w:pPr>
        <w:spacing w:after="0"/>
        <w:ind w:left="-851" w:right="-426"/>
        <w:rPr>
          <w:rFonts w:ascii="Arial" w:hAnsi="Arial" w:cs="Arial"/>
          <w:b/>
          <w:sz w:val="24"/>
          <w:szCs w:val="24"/>
        </w:rPr>
      </w:pPr>
      <w:proofErr w:type="spellStart"/>
      <w:r w:rsidRPr="00BD484F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BD484F">
        <w:rPr>
          <w:rFonts w:ascii="Arial" w:hAnsi="Arial" w:cs="Arial"/>
          <w:b/>
          <w:sz w:val="24"/>
          <w:szCs w:val="24"/>
        </w:rPr>
        <w:t>,</w:t>
      </w:r>
      <w:r w:rsidRPr="00BD484F">
        <w:rPr>
          <w:rFonts w:ascii="Arial" w:hAnsi="Arial" w:cs="Arial"/>
          <w:b/>
          <w:sz w:val="24"/>
          <w:szCs w:val="24"/>
        </w:rPr>
        <w:tab/>
      </w:r>
      <w:r w:rsidRPr="00BD484F">
        <w:rPr>
          <w:rFonts w:ascii="Arial" w:hAnsi="Arial" w:cs="Arial"/>
          <w:b/>
          <w:sz w:val="24"/>
          <w:szCs w:val="24"/>
        </w:rPr>
        <w:tab/>
      </w:r>
      <w:r w:rsidRPr="00BD484F">
        <w:rPr>
          <w:rFonts w:ascii="Arial" w:hAnsi="Arial" w:cs="Arial"/>
          <w:b/>
          <w:sz w:val="24"/>
          <w:szCs w:val="24"/>
        </w:rPr>
        <w:tab/>
      </w:r>
      <w:r w:rsidRPr="00BD484F">
        <w:rPr>
          <w:rFonts w:ascii="Arial" w:hAnsi="Arial" w:cs="Arial"/>
          <w:b/>
          <w:sz w:val="24"/>
          <w:szCs w:val="24"/>
        </w:rPr>
        <w:tab/>
      </w:r>
      <w:r w:rsidR="00B04F0B" w:rsidRPr="00BD484F">
        <w:rPr>
          <w:rFonts w:ascii="Arial" w:hAnsi="Arial" w:cs="Arial"/>
          <w:b/>
          <w:sz w:val="24"/>
          <w:szCs w:val="24"/>
        </w:rPr>
        <w:tab/>
      </w:r>
      <w:r w:rsidR="00B04F0B" w:rsidRPr="00BD484F">
        <w:rPr>
          <w:rFonts w:ascii="Arial" w:hAnsi="Arial" w:cs="Arial"/>
          <w:b/>
          <w:sz w:val="24"/>
          <w:szCs w:val="24"/>
        </w:rPr>
        <w:tab/>
      </w:r>
      <w:r w:rsidR="00B04F0B" w:rsidRPr="00BD484F">
        <w:rPr>
          <w:rFonts w:ascii="Arial" w:hAnsi="Arial" w:cs="Arial"/>
          <w:b/>
          <w:sz w:val="24"/>
          <w:szCs w:val="24"/>
        </w:rPr>
        <w:tab/>
        <w:t xml:space="preserve">                          «17</w:t>
      </w:r>
      <w:r w:rsidRPr="00BD484F">
        <w:rPr>
          <w:rFonts w:ascii="Arial" w:hAnsi="Arial" w:cs="Arial"/>
          <w:b/>
          <w:sz w:val="24"/>
          <w:szCs w:val="24"/>
        </w:rPr>
        <w:t>»</w:t>
      </w:r>
      <w:r w:rsidRPr="00BD484F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="00B04F0B" w:rsidRPr="00BD484F">
        <w:rPr>
          <w:rFonts w:ascii="Arial" w:hAnsi="Arial" w:cs="Arial"/>
          <w:b/>
          <w:sz w:val="24"/>
          <w:szCs w:val="24"/>
        </w:rPr>
        <w:t>февраля</w:t>
      </w:r>
      <w:r w:rsidRPr="00BD484F">
        <w:rPr>
          <w:rFonts w:ascii="Arial" w:hAnsi="Arial" w:cs="Arial"/>
          <w:b/>
          <w:sz w:val="24"/>
          <w:szCs w:val="24"/>
        </w:rPr>
        <w:t xml:space="preserve"> 202</w:t>
      </w:r>
      <w:r w:rsidR="00B04F0B" w:rsidRPr="00BD484F">
        <w:rPr>
          <w:rFonts w:ascii="Arial" w:hAnsi="Arial" w:cs="Arial"/>
          <w:b/>
          <w:sz w:val="24"/>
          <w:szCs w:val="24"/>
        </w:rPr>
        <w:t>3</w:t>
      </w:r>
      <w:r w:rsidRPr="00BD484F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BD484F">
        <w:rPr>
          <w:rFonts w:ascii="Arial" w:hAnsi="Arial" w:cs="Arial"/>
          <w:b/>
          <w:sz w:val="24"/>
          <w:szCs w:val="24"/>
        </w:rPr>
        <w:t>г</w:t>
      </w:r>
      <w:r w:rsidRPr="00BD484F">
        <w:rPr>
          <w:rFonts w:ascii="Arial" w:hAnsi="Arial" w:cs="Arial"/>
          <w:b/>
          <w:sz w:val="24"/>
          <w:szCs w:val="24"/>
          <w:lang w:val="kk-KZ"/>
        </w:rPr>
        <w:t>ода</w:t>
      </w:r>
      <w:r w:rsidRPr="00BD484F">
        <w:rPr>
          <w:rFonts w:ascii="Arial" w:hAnsi="Arial" w:cs="Arial"/>
          <w:b/>
          <w:sz w:val="24"/>
          <w:szCs w:val="24"/>
        </w:rPr>
        <w:t xml:space="preserve"> улица </w:t>
      </w:r>
      <w:proofErr w:type="spellStart"/>
      <w:r w:rsidRPr="00BD484F">
        <w:rPr>
          <w:rFonts w:ascii="Arial" w:hAnsi="Arial" w:cs="Arial"/>
          <w:b/>
          <w:sz w:val="24"/>
          <w:szCs w:val="24"/>
        </w:rPr>
        <w:t>Жубанова</w:t>
      </w:r>
      <w:proofErr w:type="spellEnd"/>
      <w:r w:rsidRPr="00BD484F">
        <w:rPr>
          <w:rFonts w:ascii="Arial" w:hAnsi="Arial" w:cs="Arial"/>
          <w:b/>
          <w:sz w:val="24"/>
          <w:szCs w:val="24"/>
        </w:rPr>
        <w:t>, 11</w:t>
      </w:r>
    </w:p>
    <w:p w:rsidR="006E539E" w:rsidRPr="00874ABE" w:rsidRDefault="006E539E" w:rsidP="006E539E">
      <w:pPr>
        <w:ind w:left="-851" w:right="-426"/>
        <w:rPr>
          <w:rFonts w:ascii="Arial" w:hAnsi="Arial" w:cs="Arial"/>
          <w:b/>
          <w:sz w:val="28"/>
          <w:szCs w:val="28"/>
        </w:rPr>
      </w:pPr>
    </w:p>
    <w:p w:rsidR="004B665B" w:rsidRDefault="006E539E" w:rsidP="004B665B">
      <w:pPr>
        <w:pStyle w:val="a3"/>
        <w:numPr>
          <w:ilvl w:val="0"/>
          <w:numId w:val="1"/>
        </w:numPr>
        <w:shd w:val="clear" w:color="auto" w:fill="FFFFFF"/>
        <w:spacing w:before="0" w:beforeAutospacing="0" w:after="360" w:afterAutospacing="0" w:line="285" w:lineRule="atLeast"/>
        <w:ind w:left="-426" w:hanging="425"/>
        <w:textAlignment w:val="baseline"/>
        <w:rPr>
          <w:rFonts w:ascii="Arial" w:hAnsi="Arial" w:cs="Arial"/>
          <w:b/>
          <w:color w:val="000000"/>
          <w:spacing w:val="2"/>
        </w:rPr>
      </w:pPr>
      <w:r w:rsidRPr="00BC3989">
        <w:rPr>
          <w:rFonts w:ascii="Arial" w:hAnsi="Arial" w:cs="Arial"/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10490" w:type="dxa"/>
        <w:tblInd w:w="-856" w:type="dxa"/>
        <w:tblLook w:val="04A0" w:firstRow="1" w:lastRow="0" w:firstColumn="1" w:lastColumn="0" w:noHBand="0" w:noVBand="1"/>
      </w:tblPr>
      <w:tblGrid>
        <w:gridCol w:w="735"/>
        <w:gridCol w:w="2229"/>
        <w:gridCol w:w="2937"/>
        <w:gridCol w:w="1180"/>
        <w:gridCol w:w="960"/>
        <w:gridCol w:w="1120"/>
        <w:gridCol w:w="1329"/>
      </w:tblGrid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(МНН)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Техническая характеристика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 для определения АЛТ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и диагностического определения в условиях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vitro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активности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аланинаминотрансферазы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(АЛТ) в сыворотке или плазме крови на биохимическом анализаторе CS-T240. Принцип реакции данного реагента соответствует методу, рекомендованному Международной Федерацией Клинической Химии (IFCC). В присутствии АЛТ L-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аланин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вступает в реакцию с α-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кетоглутаратом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, в результате чего образуется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пируват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и L-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глутамат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Пируват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восстанавливается до L-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лактата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при помощи ЛДГ, присутствующей в реагенте, а тем временем НАДН окисляется до НАД, что позволяет снизить значение абсорбции до 340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нм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 Активность АЛТ можно проверить за счет измерения скорости снижения абсорбции при 340нм.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Эндогенетический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пируват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образца восстанавливается ЛДГ во время периода задержки реакции, таким образом, чтобы он не создавал помех для теста .Компоненты: Реагент 1 -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Аланин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600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ЛДГ &gt;1820ЕД/Л;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Трис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Буфер 80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Реагент 2 -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Трис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Буфер 80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НАДН &gt;0.75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α-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кетоглутарат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36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Содержит нереакционный материал и стабилизатор. Продолжительность теста 60-120 секунд. Фасовка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Rl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4х50 мл R2 lx50 мл. Количество тестов в упаковке не менее 587.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21 600,00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756 000,00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 для определения АСТ для  Автоматического биохимического 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Реагент применяется для количественного измерения и диагностического определения в условиях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vitro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активности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аспартатаминотрансферазы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(АСТ) в сыворотке или плазме крови на биохимическом анализаторе CS-T240. Принцип реакции данного реагента соответствует методу, рекомендованному Международной Федерацией Клинической Химии (IFCC).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Аспартатаминотрансфераза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(АСТ) в образце катализирует L-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аспартат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aминo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-,что приводит к преобразованию α-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кетоглутарата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 эфир уксусной кислоты и L-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глутамат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 Эфир уксусной кислоты восстанавливается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малатдегидрогеназой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 реагенте до L-яблочной кислоты. В это время НАДН окисляется до НАД, так что значение абсорбции света при 340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нм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снижается. При контроле скорости снижения значения абсорбции при 340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нм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, измеряют активность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аспартата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аминотрансферазы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(АСТ). Помехи эндогенного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пирувата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могут быть удалены быстро и полностью во время запаздывания. Компоненты: Реагент 1 -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Лактат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дегидрогеназа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&gt;1365 ЕД/Л; L-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аспартат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300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Трис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Буфер &gt;80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ЭДТА 5.0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Трис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Буфер &gt;80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 Реагент 2 -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Малат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дегидрогеназа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&gt;1635 ЕД/Л; α-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кетоглутарат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36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НАДН &gt;0.75ммоль/л;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Трис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Буфер &gt;80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ЭДТА 5.0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л.Содержит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нереакционный материал и стабилизатор. Продолжительность теста 120~180 секунд. Линейный диапазон настоящего регента составляет 3 ~ 1000 ЕД/Л. Фасовка R1 4×50 мл R2 1х50 мл. Количество тестов в упаковке не менее 587.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21 600,00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864 000,00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Щелочная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фосфатоза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vitro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активности щелочной фосфатазы в сыворотке или плазме крови человека на биохимическом анализаторе CS-T240. ЩФ в образце катализирует гидролиз RNPP для формирования P-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нитрофенолата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и фосфатной кислоты, что вызывает повышение значения абсорбции света при 405нм. Активность щелочного фосфата образца рассчитывается при измерении скорости повышения абсорбционной способности при 405нм. Компоненты: Реагент 1 - Магния ацетат 3.0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Цинка сульфат 1.5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ХЭДТА 3.0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Буфер AMP 420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Реагент 2 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- p-нитробензол фосфатная кислота 81.5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Буфер AMP 420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Содержит нереактивный заполнитель и стабилизатор.  Линейный диапазон настоящего реагента – 0~850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/л.. Продолжительность теста 60~120 секунд. Фасовка R1 4×50 мл R2  1х50 мл. Количество тестов в упаковке не менее 671.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21 600,00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259 200,00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Гамма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Глутамилтранспепти</w:t>
            </w:r>
            <w:proofErr w:type="spellEnd"/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vitro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активности γ-ГТ в сыворотке и плазме крови человека на биохимическом анализаторе CS-T240. Настоящий реагент включает растворимый субстрат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Glucana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, рекомендованный МФКХ.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Глутамил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из γ-ГТ каталитического субстрата перемещается в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глицилглицин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, в результате чего образуется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глутамил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глицилглицин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и 5-амино-2-нитрофенил формат. Компоненты: Реагент 1-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Трис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Буфер 100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Натрия хлорид 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Глицилглицин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125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Реагент 2-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Трис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Буфер 100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L-γ-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глутамил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-3-карбокси-4-нитроанилин 14.5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Содержит нереакционный материал и стабилизатор. Продолжительность теста 60~120 секунд. Линейный диапазон настоящего реагента – 0~450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 (7,5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мккат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/л). Фасовка R1  4×50 мл R2  1х 50 мл. Количество тестов в упаковке не менее 671.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44 000,00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440 000,00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Реагент  для определения общего холестерина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vitro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концентрации общего холестерина в сыворотке или плазме человека на биохимическом анализаторе CS-T240. Холестериновый эфир в образце под воздействием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липопртеинэстеразы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 реагенте селективно катализируется и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гидролизуется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 холестерин и свободную жирную кислоту. Образующийся в результате общий холестерин, окисляемый оксидазой холестерина, формирует холест-4-ен-3-ен-3-кетон и пероксид водорода. Под воздействием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пероксидазы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периоксид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водорода вступает в реакцию с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гидроксибензойной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кислотой и 4-амино-антипирином с образованием H2O и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хинониминового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пигмента. При этом объем образующегося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хинониминового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пигмента пропорционален содержанию общего холестерина в образце. Поэтому измерение образуемого объема пигмента на определенной длине волны позволяет рассчитать концентрацию общего холестерина. Компоненты: Реагент 1-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Липопротеинлипаза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&gt; 300 ЕД/Л;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Пероксидаза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&gt; 750 ЕД/Л; p-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гидроксибензойная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кислота 45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Тритон X-100 0.3%; Буфер 50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Реагент 2 - 4аминоантипирн 0.3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Холестериноксидаза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&gt; 300 ЕД/Л; Буфер 50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Содержит нереактивный заполнитель и стабилизатор.  Продолжительность реакции 5~10 минут. Линейный диапазон настоящего реагента – 0-20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/л (774 мг/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дл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).Фасовка R1 4×50 мл R2 1х50 мл.  Количество тестов в упаковке не менее 587.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120 000,00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Реагент  для определения общего белка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invitro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концентрации общего белка в сыворотке или плазме крови человека на биохимическом анализаторе CS-T240.  В настоящем реагенте используется метод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биуретовой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реакции,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т.е.при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реакции между пептидной связью молекулы белка и ионом меди образуется сине-пурпурный комплекс в щелочном растворе. Каждый ион меди образует комплекс с 5-6 пептидной связью. Добавление йодида в реагент может предотвратить автоматическую реверсию соединения меди. Сине-пурпурный пигмент находится в прямой пропорции к концентрации общего белка, которую можно рассчитать за счет измерения изменений абсорбции при 520~560нм. При использовании двухлучевого 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анализа длина волны холостого раствора должна быть установлена на 600~700нм. Компоненты: Сульфат меди 12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Виннокислый калий-натрий 64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Калия йодид 6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Натрия гидроксид 200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/л. Обмен компонентов из различных партий реагентов запрещается. Продолжительность реакции 300 секунд. Линейный диапазон настоящего реагента – 0-150 г/л; Фасовка R 5×50 мл. Количество тестов в упаковке не менее 870.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14 500,00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362 500,00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 для определения общего билирубина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vitro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концентрации общего билирубина в сыворотке или плазме крови человека на биохимическом анализаторе CS-T240. В реагенте используется ПАВ в качестве растворителя. Связанный билирубин и несвязанный билирубин, которые были растворены, вступают в реакцию с диазо-сульфаниловой кислотой, в результате чего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образуетсяазо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-билирубин. Повышение абсорбции света при длине волны 570нм пропорционально концентрации общего билирубина. Концентрация общего билирубина в образце может быть рассчитана за счет проверки изменения абсорбции на длине волны 570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нм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 При анализе двойного луча длина волны холостого образца должна быть настроена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наt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750нм. Компоненты: Реагент 1 - Соляная кислота 100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сульфаниловая кислота 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Реагент 2- Нитрит натрия 72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Обмен компонентов из различных партий реагентов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запрещается.Продолжительность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реакции 300-600 секунд. Линейный диапазон настоящего реагента – 0~300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мкмоль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Фасовка R1  5×50 мл R2 1х 5 мл. Количество тестов в упаковке не менее 1068.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840 000,00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 для определения  прямого билирубина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vitro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концентрации прямого билирубина в сыворотке или плазме крови человека на биохимическом анализаторе CS-T240.  Прямой билирубин получают при реакции билирубина и соли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диазония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с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аминобензол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сульфониевой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кислотой в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гиперщелочных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гиперкислых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растворах, в результате чего образуется окрашенный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азо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-билирубин. Повышение абсорбции света при длине волны 570нм пропорционально концентрации прямого билирубина. Концентрация прямого билирубина в образце может быть рассчитана за счет проверки изменения абсорбции на длине волны 570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нм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 Компоненты Реагент 1 -  Соляная кислота 165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Метаниловая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кислота 29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Реагент 2- Нитрит натрия 72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 Линейный диапазон настоящего реагента – 0~300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мкмоль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/л. Фасовка R1 5×50 мл R2 1х3 мл. Количество тестов в упаковке не менее 1068.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420 000,00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 для определения  глюкозы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Гексокиназа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применяется для количественного определения в условиях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vitro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концентрации глюкозы, содержащейся в сыворотке, плазме крови или моче на биохимическом анализаторе CS-T240. Глюкоза в образце при активации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гексокиназой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(HK) и глюкозой - 6 – фосфат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дегидрогеназой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(G6PDH), вступает в реакцию с ATP, в результате чего образуется глюкоза - 6 – фосфат и аденозин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дифосфат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 Глюкоза - 6 – фосфорная кислота окисляется в 6 –фосфат глюкозу в жирах, а в это время NAD в реагенте восстанавливается до NADH, вызывая повышения значения абсорбции света при 340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нм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 Значении NADH пропорционально количеству глюкозу. Расчет концентрации глюкозы осуществляется за счет измерения изменения значения абсорбции при 340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нм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Компоненты: Реагент 1 -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Трифосаденин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1.30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Гексокиназа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&gt;1500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G-6-PDH &gt;2500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Буфер 50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Реагент 2- NADH 0.65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Буфер 50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Содержит нереакционный материал и стабилизатор. Длительность теста 300~600 секунд . Линейный диапазон составляет 0-40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мкмоль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на л (720мг/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дл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). Фасовка R1 4×50мл R2 1х 50мл. Количество тестов в упаковке не менее 587.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1 000 000,00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 для определения мочевины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invitro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концентрации мочевины в сыворотке крови, плазме или моче на биохимическом анализаторе CS-T240.  Мочевина в образце, катализированная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уреазой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 реагенте, вступает в реакцию с водой, в результате чего образуется аммиак и диоксид углерода. Аммиак и α-кетоглутаровая кислота в реагенте при катализе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глутамата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дегидрогеназы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(ГЛДГ) образуют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глутамовую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кислоту, при этом NADH окисляется до NAD . Таким образом, абсорбция света на 340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нм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снижается. Контроль уровня снижения абсорбции света при 340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нм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позволяет рассчитать концентрацию мочевины в образце. Компоненты: Реагент 1- α-кетоглутаровая кислота 7.5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Глутамат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дегидрогеназа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&gt;800 ЕД/Л; NADH 0.35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Аденозин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дифосфат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1.5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Трис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буфер 115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Реагент 2 -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Трис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Буфер 115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Уреаза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&gt; 40000 ЕД/Л; α-кетоглутаровая кислота 7.5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Содержит нереакционный материал и стабилизатор. Продолжительность теста 60 секунд. Линейный диапазон настоящего реагента – 0-35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/л (азот мочевины 98 мг/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дл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). Фасовка R1 4×50 мл R2 1х 50 мл. Количество тестов в упаковке не менее 587.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соответствовать диапазону 15мм-25мм.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875 000,00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 для определения 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креатинина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CREENZYME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invitro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концентрации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креатинина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 сыворотке, плазме крови или моче на биохимическом анализаторе CS-T240.  Креатин может образовываться при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гидролизации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амидо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с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гидролазой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 образце. Креатин может быть гидролизован под действием креатин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амидин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гидролазы и образовывать мочевину и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саркозин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 Под воздействием оксидазы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саркозина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креатинин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может образовывать глицин и пероксид водорода, который вступает в реакцию с 4 –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аминоантипирином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хромогеновыми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соединениями под воздействием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пероксидазы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, и образует пигмент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хинонимин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 Впоследствии содержание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креатинина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 образце может быть рассчитано посредством контроля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 xml:space="preserve">образованного объема пигмента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хинонимина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на определенной точке длины волны. Реагент включает следующие компоненты и механизм, который исключает помехи для расчета креатина в образце в соответствии с принципами реакции. Компоненты: Реагент 1-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Трис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буфер 100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/л; N-этил-N-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сульфо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-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гидроксипропил-интер-толуидин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2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KCl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20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Креатинин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амидо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гидролаза 400 KЕД/Л;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Саркозин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оксидаза 8 KЕД/Л; HRP 700 ЕД/Л. Реагент 2 -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Трис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буфер 100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Магния ацетат 2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4 -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аминоантипирин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1.2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Креатин гидролаза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амидин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40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KЕд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/Л. Содержит стабилизатор. Время теста 300 секунд. Линейный диапазон настоящего реагента составляет 0 ~ 2500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мкмоль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/л; Фасовка R1 4×50 мл R2 1х 50 мл   Количество тестов в упаковке не менее 587.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79 000,00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1 975 000,00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Срб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Латекс- Витал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Набор реагентов для определения С-реактивного белка с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сывородке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крови методом латекс-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агглютинациина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биохимическом анализаторе CS-T240. Состав, комплектность и характеристики компонентов набора: Реагент №1. СРБ-латекс – суспензия латексных частиц из полистирола, покрытых антителами к СРБ,  в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забуференном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физиологическом 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растворе, азид натрия – 0,95 г/л. Реагент №2. Разбавитель – натрия хлорид – 9 г/л. Контроль (+). Положительный контроль –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сывородка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крови человека с СРБ &gt;15 мг/л, азид натрия – 0,95 г/л. Контроль (-). Отрицательный контроль –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сывородка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крови с СРБ &lt;1 мг/л, азид натрия – 0,95 г/л.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37 300,00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373 000,00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Альбумин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vitro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концентрации альбумина в сыворотке или плазме крови человека на биохимическом анализаторе CS-T240.  Используемый метод анализа альбумина в сыворотке крови – это метод связывания красителя лизина (DBL). Технология DBL основывается на переносе крупнейшего пика абсорбции при связывании красителя с альбумином. Перенос пика абсорбции позволяет измерить образующийся цвет в обстоятельствах существования чрезмерного окрашивания. Точность обеспечивается за счет наличия совместной способности между красителем и альбумином, что полностью интегрирует альбумин в реакцию. Использование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бромкрезолового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зеленого и альбумина при pH4.0~4.2 вызывает образование зеленовато-синей комбинации, которая находится в прямой зависимости от концентрации альбумина в образце. Концентрация альбумина может быть рассчитана при измерении значения абсорбции при 580-630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нм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 При использовании двойного луча света длина холостой волны может быть установлена на 600~700нм. Компоненты: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Бромгексоловый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зеленый 0.35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Буфер янтарной кислоты 50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/л; Натрия азид 7.7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/л; Brij-35 1%.  Продолжительность реакции 300 сек. Линейный диапазон настоящего реагента составляет 0-60 г/л(6 г/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дл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). Фасовка R: 5×50 мл. Количество тестов в упаковке не менее 734.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195 000,00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для определения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лактата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vitro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Лактатдегидрогеназа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 xml:space="preserve"> в сыворотке или плазме крови человека на биохимическом анализаторе CS-T240. Кинетический, УФ, рекомендуемый 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DGKC; λ=340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нм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Hg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365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нм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Hg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334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нм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; Состав: R1 (Фосфатный буфер – 50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 (рН 7,5),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пируват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– 0,6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/л); R2 (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Good’s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буфер (рН 9,6), НАДН – 0,18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/л); Линейность от 5 до 1200 Е/л; Стабильность: Жидкий, Готовый, R1 и R2 стабильны в течение срока, указанного на этикетке, при температуре от +2°С до +8°С; Рабочий реагент стабилен в течение 5 дней при температуре от +2°С до +8°С; Флаконы снабжены штрих - кодом, содержащим информацию о типе реагента, номере лота, сроке годности. Штрих-код может непосредственно использоваться в автоматических биохимических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анализаторах.Фасовка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R1 4×50 мл. R2 2×20 мл. 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560 000,00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15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Амилаза №1068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применяется для лабораторного квантитативного определения активности ɑ-амилаза в сыворотке крови человека или моче на биохимическом анализаторе CS-T240. Данный реагент действует методу, рекомендованному Международной федерацией клинической химии (IFCC), этилен-pNP-G7 (E-pNP-G7) принимается в качестве субстрата для предотвращения разложения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эктоэнзима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  Компоненты:  Реагент 1-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Глюкозидаза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B378E">
              <w:rPr>
                <w:rFonts w:ascii="MS Gothic" w:eastAsia="MS Gothic" w:hAnsi="MS Gothic" w:cs="MS Gothic" w:hint="eastAsia"/>
                <w:bCs/>
                <w:color w:val="000000"/>
                <w:sz w:val="16"/>
                <w:szCs w:val="16"/>
                <w:lang w:eastAsia="ru-RU"/>
              </w:rPr>
              <w:t>＞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4500 у./л.; Сульфат магния 10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./л.; Хлорид натрия 50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./л.; Буфер HEPES 50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./л. Реагент 2 - E  pNP-G7 5.5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./л.; 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уфер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HEPES 50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./л.; Хлорид натрия 50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./л.; Компоненты не могут быть взаимозаменяемы в различных комплектах. Время тестирования 60 сек. Линейный диапазон реагента: свыше 1500 у/л. Фасовка R1 4×50 мл. R2 1×50 мл. Количество тестов в упаковке не менее 783.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соответствовать диапазону 15мм-25мм.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1 860 000,00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Контрольный уровень № 1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 LTD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Контрольный материал  «Сыворотка контрольная для биохимических исследований уровень 1",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лиофилизованный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препарат от светло-желтого до светло-кремового цвета для оценки точности и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воспроизводимости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на биохимическом анализаторе  CS-T240 следующих параметров:  ALB, ALP, ALT, AMY, AST, BUN, UREA,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Ca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-CPC,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Ca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-ARS, CHE, CK, CL, CO2, CRE, CRE-ENZYME, D-BIL, D-BIL-V, GGT, GLDH, GLU-HK, GLU-OX, HBDH, K, LAP, LDH,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Mg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-XB,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Na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, P-AMY, PHOS, TB, TB-V, TBA, TC, TG, TP, UA,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Zn,Fe,TIBC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ACP. Фасовка 5 мл х 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444 000,00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Контрольный уровень № 2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Контрольный материал «Сыворотка контрольная для биохимических исследований  уровень 2 ",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лиофилизованный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препарат от светло-желтого до светло-кремового цвета для оценки точности и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воспроизводимости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на биохимическом анализаторе CS-T240 следующих параметров:  ALB, ALP, ALT, AMY, AST, BUN, UREA,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Ca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-CPC,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Ca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-ARS, CHE, CK, CL, CO2, CRE, CRE-ENZYME, D-BIL, D-BIL-V, GGT, GLDH, GLU-HK, GLU-OX, HBDH, K, LAP, LDH,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Mg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-XB,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Na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, P-AMY, PHOS, TB, TB-V, TBA, TC, TG, TP, UA,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Zn,Fe,TIBC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ACP. Фасовка 5 мл х 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107 000,00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321 000,00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Люст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Тест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Микрореакции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Набор реагентов «ЛЮИС-ТЕСТ» для определения ассоциированных с сифилисом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реагиновых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антител, предназначен для определения ассоциированных с сифилисом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реагиновых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антител в образцах сыворотки (плазмы) крови и ликвора человека и должен использоваться в клинико-диагностических лабораториях специально обученным персоналом.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1 260 000,00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Мультикалибратор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Калибровочный раствор приготовлен на основе биоматериала человека, предназначен для калибровки клинического определения ряда биохимических показателей калибровки на биохимическом анализаторе CS-T240 следующих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аналитов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: ALB, ALP, ALT, AMY, AST, BUN, UREA,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Ca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-CPC,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Ca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-ARS, CHE, CK, CL, CO2, CRE, CRE-ENZYME, D-BIL, D-BIL-V, GGT, GLDH, GLU-HK, GLU-OX, HBDH, K, LAP, LDH,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Mg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-XB,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Na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, P-AMY, PHOS, TB, TB-V, TBA, TC, TG, TP, UA,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Zn,Fe,TIBC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. ACP.  Фасовка 5 мл х 4.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320 000,00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Контрольная сыворотка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специфчкских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белков уровень 1, 1мл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«Контрольная сыворотка специфических белков» (уровень№1) используется для оценки точности и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воспроизводимости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измерения на биохимическом анализаторе CS-T240 следующих параметров: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IgA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IgM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IgG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/C3/C4/PA/TRF/β2-MG/ASO/RF/CRP/ALB/RBP.  Фасовка 1 мл х 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220 000,00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Контрольная сыворотка специфических белков уровень 2  1мл для  Автоматического 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«Контрольная сыворотка специфических белков» (уровень№2) используется для оценки точности и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воспроизводимости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измерения на биохимическом анализаторе CS-T240   следующих параметров: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IgA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IgM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IgG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/C3/C4/PA/TRF/β2-MG/ASO/RF/CRP/ALB/RBP.  Фасовка 1 мл х 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220 000,00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22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Детергент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антибак.промыв.раствор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Антибактериальный промывочный раствор без фосфора для биохимического анализатора CS-T240. Фасовка 500мл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68 000,00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1 700 000,00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Детергент 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Промыв.щелочной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раствор 2000мл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Промывочный щелочной раствор для биохимического анализатора CS-T240.  Фасовка 2000мл. 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68 000,00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1 020 000,00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Креатинина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Витал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Яффа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Реагент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креатинина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для определение концентрации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креатинина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на биохимическом анализаторе CS-T240. Фасовка R1 4×50 мл R2 1×25 мл. калибратор  1х2 мл. Количество тестов в упаковке не менее 652.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140 000,00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Кюветы  комплект  CS-Т 240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Кюветы  комплект  CS-Т 240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комплект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1 200 000,00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Галогеновая  лампа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Галогеновая  лампа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183 000,00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366 000,00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Diluent</w:t>
            </w:r>
            <w:proofErr w:type="spellEnd"/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Дилюент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-реагент применяется для разбавления образцов крови. Объем: 20 л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>Состав: натрия сульфат, натрия хлорид, натрия фосфат двухатомных, борная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>кислота.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 xml:space="preserve">Условия хранения и срок годности: герметично - при температуре от 2 до 30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оС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 темном месте в течение 12 месяцев; открытую емкость - при температуре от 2 до 30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оС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 темном месте в течение 90 дней.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>Для автоматических гематологических анализаторов BCC-3600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3 780 000,00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Lyse</w:t>
            </w:r>
            <w:proofErr w:type="spellEnd"/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Лизирующий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реагент применяется для автоматизированного определения концентрации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гемаглобина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 крови. Объем: 500 мл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>Состав: Шестнадцать алкил три бромистого метила аммония, натрия борная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>кислота, поверхностно-активное пропитывающее вещество, натрия сульфат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Условия хранения и срок годности: герметично - при температуре от 2 до 30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оС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 темном месте в течение 12 месяцев; открытую емкость - при температуре от 2 до 30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оС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 темном месте в течение 90 дней.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>Для автоматических гематологических анализаторов  BCC-3600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37 000,00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3 145 000,00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29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Cleanser</w:t>
            </w:r>
            <w:proofErr w:type="spellEnd"/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Очищающий реагент применяется для очистки трубопроводов гематологических анализаторов для предотвращения перекрестного загрязнения, вызванного остатками крови или других частиц.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>Объем: 500мл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>Состав: натрия карбонат, натрия сульфат, поверхностно-активные вещества, консерванты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 xml:space="preserve">Условия хранения и срок годности: герметично - при температуре от 2 до 30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оС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 темном месте в течение 12 месяцев; открытую емкость - при температуре от 2 до 30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оС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в темном месте в течение 90 дней.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>Для автоматических гематологических анализаторов серии BCC-3600.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720 000,00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Control-Midle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Level</w:t>
            </w:r>
            <w:proofErr w:type="spellEnd"/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Контрольная кровь предназначена для оценки точности и достоверности проведения результатов на гематологическом анализаторе  BCC-3600 по 3 популяциям. 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>Состав:  кровь животного происхождения. Срок годности 3 месяца при температуре от 2 до 8°С. Стабильность вскрытого флакона 7 дней при температуре от 2 до 8°С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>Уровень 2 - 2  мл  Для автоматических гематологических анализаторов  BCC-3600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43 500,00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348 000,00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Control-High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Level</w:t>
            </w:r>
            <w:proofErr w:type="spellEnd"/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Контрольная кровь предназначена для оценки точности и достоверности проведения результатов на гематологическом анализаторе  BCC-3600 по 3 популяциям. 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>Состав:  кровь животного происхождения. Срок годности 3 месяца при температуре от 2 до 8°С. Стабильность вскрытого флакона 7 дней при температуре от 2 до 8°С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>Уровень 1 - 2  мл  Для автоматических гематологических анализаторов  BCC-3600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43 500,00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348 000,00  </w:t>
            </w:r>
          </w:p>
        </w:tc>
      </w:tr>
      <w:tr w:rsidR="00F6272A" w:rsidRPr="002B378E" w:rsidTr="002B378E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Control-Low</w:t>
            </w:r>
            <w:proofErr w:type="spellEnd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Level</w:t>
            </w:r>
            <w:proofErr w:type="spellEnd"/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Контрольная кровь предназначена для оценки точности и достоверности проведения результатов на гематологическом анализаторе  BCC-3600 по 3 популяциям. 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>Состав: кровь животного происхождения. Срок годности 3 месяца при температуре от 2 до 8°С. Стабильность вскрытого флакона 7 дней при температуре от 2 до 8°С</w:t>
            </w: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br/>
              <w:t>Уровень 3 - 2 мл  Для автоматических гематологических анализаторов  BCC-3600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43 500,00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72A" w:rsidRPr="002B378E" w:rsidRDefault="00F6272A" w:rsidP="00F6272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348 000,00  </w:t>
            </w:r>
          </w:p>
        </w:tc>
      </w:tr>
    </w:tbl>
    <w:p w:rsidR="004B665B" w:rsidRPr="00BC3989" w:rsidRDefault="006E539E" w:rsidP="00BD484F">
      <w:pPr>
        <w:pStyle w:val="a3"/>
        <w:numPr>
          <w:ilvl w:val="0"/>
          <w:numId w:val="1"/>
        </w:numPr>
        <w:shd w:val="clear" w:color="auto" w:fill="FFFFFF"/>
        <w:spacing w:before="0" w:beforeAutospacing="0" w:after="360" w:afterAutospacing="0" w:line="285" w:lineRule="atLeast"/>
        <w:ind w:left="-197" w:hanging="370"/>
        <w:textAlignment w:val="baseline"/>
        <w:rPr>
          <w:rFonts w:ascii="Arial" w:hAnsi="Arial" w:cs="Arial"/>
          <w:b/>
          <w:color w:val="000000"/>
          <w:spacing w:val="2"/>
        </w:rPr>
      </w:pPr>
      <w:r w:rsidRPr="00BC3989">
        <w:rPr>
          <w:rFonts w:ascii="Arial" w:hAnsi="Arial" w:cs="Arial"/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10488" w:type="dxa"/>
        <w:tblInd w:w="-856" w:type="dxa"/>
        <w:tblLook w:val="04A0" w:firstRow="1" w:lastRow="0" w:firstColumn="1" w:lastColumn="0" w:noHBand="0" w:noVBand="1"/>
      </w:tblPr>
      <w:tblGrid>
        <w:gridCol w:w="3545"/>
        <w:gridCol w:w="4677"/>
        <w:gridCol w:w="1208"/>
        <w:gridCol w:w="1058"/>
      </w:tblGrid>
      <w:tr w:rsidR="004B665B" w:rsidRPr="00874ABE" w:rsidTr="00BC3989">
        <w:trPr>
          <w:trHeight w:val="483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5B" w:rsidRPr="00874ABE" w:rsidRDefault="004B665B" w:rsidP="004B66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 местонахождение потенциального поставщика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5B" w:rsidRPr="00874ABE" w:rsidRDefault="004B665B" w:rsidP="004B66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Дата и время представления ценового предложения</w:t>
            </w:r>
          </w:p>
        </w:tc>
      </w:tr>
      <w:tr w:rsidR="004B665B" w:rsidRPr="00874ABE" w:rsidTr="00BC3989">
        <w:trPr>
          <w:trHeight w:val="73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5B" w:rsidRPr="00874ABE" w:rsidRDefault="00F6272A" w:rsidP="003E64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272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ТОО </w:t>
            </w:r>
            <w:r w:rsidR="003E647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proofErr w:type="spellStart"/>
            <w:r w:rsidR="003E6474" w:rsidRPr="00F6272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Halyk</w:t>
            </w:r>
            <w:proofErr w:type="spellEnd"/>
            <w:r w:rsidR="003E6474" w:rsidRPr="00F6272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3E6474" w:rsidRPr="00F6272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Medical</w:t>
            </w:r>
            <w:proofErr w:type="spellEnd"/>
            <w:r w:rsidR="003E6474" w:rsidRPr="00F6272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3E6474" w:rsidRPr="00F6272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Company</w:t>
            </w:r>
            <w:proofErr w:type="spellEnd"/>
            <w:r w:rsidR="003E647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5B" w:rsidRPr="00874ABE" w:rsidRDefault="004B665B" w:rsidP="003E64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Г.АЛМАТЫ, </w:t>
            </w:r>
            <w:proofErr w:type="spellStart"/>
            <w:r w:rsidR="00F6272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Медеуский</w:t>
            </w:r>
            <w:proofErr w:type="spellEnd"/>
            <w:r w:rsidR="00F6272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3E647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район,</w:t>
            </w: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3E647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улица </w:t>
            </w:r>
            <w:proofErr w:type="spellStart"/>
            <w:r w:rsidR="003E647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Гурилева</w:t>
            </w:r>
            <w:proofErr w:type="spellEnd"/>
            <w:r w:rsidR="003E647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дом 106А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5B" w:rsidRPr="00874ABE" w:rsidRDefault="004B665B" w:rsidP="004B66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="003E647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.02.2023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5B" w:rsidRPr="00874ABE" w:rsidRDefault="003E6474" w:rsidP="004B66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10-30</w:t>
            </w:r>
          </w:p>
        </w:tc>
      </w:tr>
      <w:tr w:rsidR="003E6474" w:rsidRPr="00874ABE" w:rsidTr="00BC3989">
        <w:trPr>
          <w:trHeight w:val="66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474" w:rsidRPr="003E6474" w:rsidRDefault="003E6474" w:rsidP="003E64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Hydaramed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474" w:rsidRPr="003E6474" w:rsidRDefault="003E6474" w:rsidP="003E64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kk-KZ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</w:t>
            </w: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Астана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район Алматы, улица </w:t>
            </w:r>
            <w:r w:rsidR="008B6167">
              <w:rPr>
                <w:rFonts w:ascii="Arial" w:eastAsia="Times New Roman" w:hAnsi="Arial" w:cs="Arial"/>
                <w:color w:val="000000"/>
                <w:sz w:val="16"/>
                <w:szCs w:val="16"/>
                <w:lang w:val="kk-KZ" w:eastAsia="ru-RU"/>
              </w:rPr>
              <w:t>Бейім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kk-KZ" w:eastAsia="ru-RU"/>
              </w:rPr>
              <w:t>бет Майлин, дом 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474" w:rsidRPr="00874ABE" w:rsidRDefault="003E6474" w:rsidP="003E64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.02.2023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474" w:rsidRPr="00874ABE" w:rsidRDefault="003E6474" w:rsidP="003E64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10-32</w:t>
            </w:r>
          </w:p>
        </w:tc>
      </w:tr>
    </w:tbl>
    <w:p w:rsidR="0022548F" w:rsidRPr="002B378E" w:rsidRDefault="0022548F" w:rsidP="006E539E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</w:rPr>
      </w:pPr>
      <w:r w:rsidRPr="002B378E">
        <w:rPr>
          <w:rFonts w:ascii="Arial" w:hAnsi="Arial" w:cs="Arial"/>
          <w:b/>
          <w:color w:val="000000"/>
          <w:spacing w:val="2"/>
        </w:rPr>
        <w:t>Сравнительная таблица ценовых предложений;</w:t>
      </w:r>
    </w:p>
    <w:tbl>
      <w:tblPr>
        <w:tblW w:w="10573" w:type="dxa"/>
        <w:tblInd w:w="-856" w:type="dxa"/>
        <w:tblLook w:val="04A0" w:firstRow="1" w:lastRow="0" w:firstColumn="1" w:lastColumn="0" w:noHBand="0" w:noVBand="1"/>
      </w:tblPr>
      <w:tblGrid>
        <w:gridCol w:w="735"/>
        <w:gridCol w:w="4227"/>
        <w:gridCol w:w="940"/>
        <w:gridCol w:w="659"/>
        <w:gridCol w:w="1130"/>
        <w:gridCol w:w="1456"/>
        <w:gridCol w:w="1418"/>
        <w:gridCol w:w="8"/>
      </w:tblGrid>
      <w:tr w:rsidR="002B378E" w:rsidRPr="002B378E" w:rsidTr="002B378E">
        <w:trPr>
          <w:trHeight w:val="450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(МНН)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2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потенциального поставщика</w:t>
            </w:r>
          </w:p>
        </w:tc>
      </w:tr>
      <w:tr w:rsidR="002B378E" w:rsidRPr="002B378E" w:rsidTr="002B378E">
        <w:trPr>
          <w:gridAfter w:val="1"/>
          <w:wAfter w:w="8" w:type="dxa"/>
          <w:trHeight w:val="591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ТОО «</w:t>
            </w:r>
            <w:proofErr w:type="spellStart"/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Halyk</w:t>
            </w:r>
            <w:proofErr w:type="spellEnd"/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Medical</w:t>
            </w:r>
            <w:proofErr w:type="spellEnd"/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Company</w:t>
            </w:r>
            <w:proofErr w:type="spellEnd"/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ТОО «</w:t>
            </w:r>
            <w:proofErr w:type="spellStart"/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Hydaramed</w:t>
            </w:r>
            <w:proofErr w:type="spellEnd"/>
            <w:r w:rsidRPr="002B37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2B378E" w:rsidRPr="002B378E" w:rsidTr="002B378E">
        <w:trPr>
          <w:gridAfter w:val="1"/>
          <w:wAfter w:w="8" w:type="dxa"/>
          <w:trHeight w:val="55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Реагент  для определения АЛТ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21 550,00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21 600,00  </w:t>
            </w:r>
          </w:p>
        </w:tc>
      </w:tr>
      <w:tr w:rsidR="002B378E" w:rsidRPr="002B378E" w:rsidTr="002B378E">
        <w:trPr>
          <w:gridAfter w:val="1"/>
          <w:wAfter w:w="8" w:type="dxa"/>
          <w:trHeight w:val="69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Реагент  для определения АСТ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21 550,00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21 600,00  </w:t>
            </w:r>
          </w:p>
        </w:tc>
      </w:tr>
      <w:tr w:rsidR="002B378E" w:rsidRPr="002B378E" w:rsidTr="002B378E">
        <w:trPr>
          <w:gridAfter w:val="1"/>
          <w:wAfter w:w="8" w:type="dxa"/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Щелочная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фосфатоза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21 550,00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21 600,00  </w:t>
            </w:r>
          </w:p>
        </w:tc>
      </w:tr>
      <w:tr w:rsidR="002B378E" w:rsidRPr="002B378E" w:rsidTr="002B378E">
        <w:trPr>
          <w:gridAfter w:val="1"/>
          <w:wAfter w:w="8" w:type="dxa"/>
          <w:trHeight w:val="19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Гамма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Глутамилтранспепти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44 000,00  </w:t>
            </w:r>
          </w:p>
        </w:tc>
      </w:tr>
      <w:tr w:rsidR="002B378E" w:rsidRPr="002B378E" w:rsidTr="002B378E">
        <w:trPr>
          <w:gridAfter w:val="1"/>
          <w:wAfter w:w="8" w:type="dxa"/>
          <w:trHeight w:val="561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Реагент  для определения общего холестерина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59 950,00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60 000,00  </w:t>
            </w:r>
          </w:p>
        </w:tc>
      </w:tr>
      <w:tr w:rsidR="002B378E" w:rsidRPr="002B378E" w:rsidTr="002B378E">
        <w:trPr>
          <w:gridAfter w:val="1"/>
          <w:wAfter w:w="8" w:type="dxa"/>
          <w:trHeight w:val="283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Реагент  для определения общего белка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14 500,00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14 450,00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14 500,00  </w:t>
            </w:r>
          </w:p>
        </w:tc>
      </w:tr>
      <w:tr w:rsidR="002B378E" w:rsidRPr="002B378E" w:rsidTr="002B378E">
        <w:trPr>
          <w:gridAfter w:val="1"/>
          <w:wAfter w:w="8" w:type="dxa"/>
          <w:trHeight w:val="84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Реагент  для определения общего билирубина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28 000,00  </w:t>
            </w:r>
          </w:p>
        </w:tc>
      </w:tr>
      <w:tr w:rsidR="002B378E" w:rsidRPr="002B378E" w:rsidTr="002B378E">
        <w:trPr>
          <w:gridAfter w:val="1"/>
          <w:wAfter w:w="8" w:type="dxa"/>
          <w:trHeight w:val="71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Реагент  для определения  прямого билирубина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28 000,00</w:t>
            </w:r>
          </w:p>
        </w:tc>
      </w:tr>
      <w:tr w:rsidR="002B378E" w:rsidRPr="002B378E" w:rsidTr="002B378E">
        <w:trPr>
          <w:gridAfter w:val="1"/>
          <w:wAfter w:w="8" w:type="dxa"/>
          <w:trHeight w:val="7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Реагент  для определения  глюкозы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Гексокиназа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</w:tr>
      <w:tr w:rsidR="002B378E" w:rsidRPr="002B378E" w:rsidTr="002B378E">
        <w:trPr>
          <w:gridAfter w:val="1"/>
          <w:wAfter w:w="8" w:type="dxa"/>
          <w:trHeight w:val="83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Реагент  для определения мочевины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</w:tr>
      <w:tr w:rsidR="002B378E" w:rsidRPr="002B378E" w:rsidTr="002B378E">
        <w:trPr>
          <w:gridAfter w:val="1"/>
          <w:wAfter w:w="8" w:type="dxa"/>
          <w:trHeight w:val="833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Реагент  для определения 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креатинина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CREENZYME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79 000,00</w:t>
            </w:r>
          </w:p>
        </w:tc>
      </w:tr>
      <w:tr w:rsidR="002B378E" w:rsidRPr="002B378E" w:rsidTr="002B378E">
        <w:trPr>
          <w:gridAfter w:val="1"/>
          <w:wAfter w:w="8" w:type="dxa"/>
          <w:trHeight w:val="673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Срб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Латекс- Витал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37 300,00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37 250,00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37 300,00</w:t>
            </w:r>
          </w:p>
        </w:tc>
      </w:tr>
      <w:tr w:rsidR="002B378E" w:rsidRPr="002B378E" w:rsidTr="002B378E">
        <w:trPr>
          <w:gridAfter w:val="1"/>
          <w:wAfter w:w="8" w:type="dxa"/>
          <w:trHeight w:val="54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Альбумин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</w:tr>
      <w:tr w:rsidR="002B378E" w:rsidRPr="002B378E" w:rsidTr="002B378E">
        <w:trPr>
          <w:gridAfter w:val="1"/>
          <w:wAfter w:w="8" w:type="dxa"/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Реагент для определения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лактата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55 950,00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</w:tr>
      <w:tr w:rsidR="002B378E" w:rsidRPr="002B378E" w:rsidTr="002B378E">
        <w:trPr>
          <w:gridAfter w:val="1"/>
          <w:wAfter w:w="8" w:type="dxa"/>
          <w:trHeight w:val="631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Амилаза №1068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309 950,00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</w:tr>
      <w:tr w:rsidR="002B378E" w:rsidRPr="002B378E" w:rsidTr="002B378E">
        <w:trPr>
          <w:gridAfter w:val="1"/>
          <w:wAfter w:w="8" w:type="dxa"/>
          <w:trHeight w:val="941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Контрольный уровень № 1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 LTD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147 920,00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148 000,00</w:t>
            </w:r>
          </w:p>
        </w:tc>
      </w:tr>
      <w:tr w:rsidR="002B378E" w:rsidRPr="002B378E" w:rsidTr="002B378E">
        <w:trPr>
          <w:gridAfter w:val="1"/>
          <w:wAfter w:w="8" w:type="dxa"/>
          <w:trHeight w:val="51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Контрольный уровень № 2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106 950,00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</w:tr>
      <w:tr w:rsidR="002B378E" w:rsidRPr="002B378E" w:rsidTr="002B378E">
        <w:trPr>
          <w:gridAfter w:val="1"/>
          <w:wAfter w:w="8" w:type="dxa"/>
          <w:trHeight w:val="543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Люст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Тест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Микрореакции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41 960,00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42 000,00</w:t>
            </w:r>
          </w:p>
        </w:tc>
      </w:tr>
      <w:tr w:rsidR="002B378E" w:rsidRPr="002B378E" w:rsidTr="002B378E">
        <w:trPr>
          <w:gridAfter w:val="1"/>
          <w:wAfter w:w="8" w:type="dxa"/>
          <w:trHeight w:val="84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Мультикалибратор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159 970,00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160 000,00</w:t>
            </w:r>
          </w:p>
        </w:tc>
      </w:tr>
      <w:tr w:rsidR="002B378E" w:rsidRPr="002B378E" w:rsidTr="002B378E">
        <w:trPr>
          <w:gridAfter w:val="1"/>
          <w:wAfter w:w="8" w:type="dxa"/>
          <w:trHeight w:val="693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Контрольная сыворотка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специфчкских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белков уровень 1, 1мл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109 950,00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110 000,00</w:t>
            </w:r>
          </w:p>
        </w:tc>
      </w:tr>
      <w:tr w:rsidR="002B378E" w:rsidRPr="002B378E" w:rsidTr="002B378E">
        <w:trPr>
          <w:gridAfter w:val="1"/>
          <w:wAfter w:w="8" w:type="dxa"/>
          <w:trHeight w:val="693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Контрольная сыворотка специфических белков уровень 2  1мл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109 950,00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110 000,00</w:t>
            </w:r>
          </w:p>
        </w:tc>
      </w:tr>
      <w:tr w:rsidR="002B378E" w:rsidRPr="002B378E" w:rsidTr="002B378E">
        <w:trPr>
          <w:gridAfter w:val="1"/>
          <w:wAfter w:w="8" w:type="dxa"/>
          <w:trHeight w:val="519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Детергент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антибак.промыв.раствор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67 950,00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68 000,00</w:t>
            </w:r>
          </w:p>
        </w:tc>
      </w:tr>
      <w:tr w:rsidR="002B378E" w:rsidRPr="002B378E" w:rsidTr="002B378E">
        <w:trPr>
          <w:gridAfter w:val="1"/>
          <w:wAfter w:w="8" w:type="dxa"/>
          <w:trHeight w:val="84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Детергент 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Промыв.щелочной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раствор 2000мл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67 950,00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68 000,00</w:t>
            </w:r>
          </w:p>
        </w:tc>
      </w:tr>
      <w:tr w:rsidR="002B378E" w:rsidRPr="002B378E" w:rsidTr="002B378E">
        <w:trPr>
          <w:gridAfter w:val="1"/>
          <w:wAfter w:w="8" w:type="dxa"/>
          <w:trHeight w:val="626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Креатинина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Витал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Яффа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14 000,00</w:t>
            </w:r>
          </w:p>
        </w:tc>
      </w:tr>
      <w:tr w:rsidR="002B378E" w:rsidRPr="002B378E" w:rsidTr="002B378E">
        <w:trPr>
          <w:gridAfter w:val="1"/>
          <w:wAfter w:w="8" w:type="dxa"/>
          <w:trHeight w:val="593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Кюветы  комплект  CS-Т 240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комплект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299 950,00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B378E" w:rsidRPr="002B378E" w:rsidTr="002B378E">
        <w:trPr>
          <w:gridAfter w:val="1"/>
          <w:wAfter w:w="8" w:type="dxa"/>
          <w:trHeight w:val="40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Галогеновая  лампа для  Автоматического биохимического анализатора CS-T240  DIRUI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182 950,00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183 000,00</w:t>
            </w:r>
          </w:p>
        </w:tc>
      </w:tr>
      <w:tr w:rsidR="002B378E" w:rsidRPr="002B378E" w:rsidTr="002B378E">
        <w:trPr>
          <w:gridAfter w:val="1"/>
          <w:wAfter w:w="8" w:type="dxa"/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Diluent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41 950,00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42 000,00</w:t>
            </w:r>
          </w:p>
        </w:tc>
      </w:tr>
      <w:tr w:rsidR="002B378E" w:rsidRPr="002B378E" w:rsidTr="002B378E">
        <w:trPr>
          <w:gridAfter w:val="1"/>
          <w:wAfter w:w="8" w:type="dxa"/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Lyse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37 950,00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37 000,00</w:t>
            </w:r>
          </w:p>
        </w:tc>
      </w:tr>
      <w:tr w:rsidR="002B378E" w:rsidRPr="002B378E" w:rsidTr="002B378E">
        <w:trPr>
          <w:gridAfter w:val="1"/>
          <w:wAfter w:w="8" w:type="dxa"/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Cleanser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23 950,00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</w:tr>
      <w:tr w:rsidR="002B378E" w:rsidRPr="002B378E" w:rsidTr="002B378E">
        <w:trPr>
          <w:gridAfter w:val="1"/>
          <w:wAfter w:w="8" w:type="dxa"/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Control-Midle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Level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43 500,00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43 400,00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43 500,00</w:t>
            </w:r>
          </w:p>
        </w:tc>
      </w:tr>
      <w:tr w:rsidR="002B378E" w:rsidRPr="002B378E" w:rsidTr="002B378E">
        <w:trPr>
          <w:gridAfter w:val="1"/>
          <w:wAfter w:w="8" w:type="dxa"/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Control-High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Level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43 500,00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43 400,00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43 500,00</w:t>
            </w:r>
          </w:p>
        </w:tc>
      </w:tr>
      <w:tr w:rsidR="002B378E" w:rsidRPr="002B378E" w:rsidTr="002B378E">
        <w:trPr>
          <w:gridAfter w:val="1"/>
          <w:wAfter w:w="8" w:type="dxa"/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Control-Low</w:t>
            </w:r>
            <w:proofErr w:type="spellEnd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Level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43 500,00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43 400,00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78E" w:rsidRPr="002B378E" w:rsidRDefault="002B378E" w:rsidP="002B37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37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43 500,00</w:t>
            </w:r>
          </w:p>
        </w:tc>
      </w:tr>
    </w:tbl>
    <w:p w:rsidR="0022548F" w:rsidRPr="00874ABE" w:rsidRDefault="0022548F" w:rsidP="006E539E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  <w:sz w:val="28"/>
          <w:szCs w:val="28"/>
        </w:rPr>
      </w:pPr>
      <w:bookmarkStart w:id="0" w:name="_GoBack"/>
      <w:bookmarkEnd w:id="0"/>
    </w:p>
    <w:p w:rsidR="006E539E" w:rsidRPr="00BD484F" w:rsidRDefault="006E539E" w:rsidP="002B378E">
      <w:pPr>
        <w:pStyle w:val="a3"/>
        <w:numPr>
          <w:ilvl w:val="0"/>
          <w:numId w:val="1"/>
        </w:numPr>
        <w:shd w:val="clear" w:color="auto" w:fill="FFFFFF"/>
        <w:spacing w:before="0" w:beforeAutospacing="0" w:after="360" w:afterAutospacing="0" w:line="285" w:lineRule="atLeast"/>
        <w:ind w:left="-709" w:hanging="284"/>
        <w:textAlignment w:val="baseline"/>
        <w:rPr>
          <w:rFonts w:ascii="Arial" w:hAnsi="Arial" w:cs="Arial"/>
          <w:b/>
          <w:color w:val="000000"/>
          <w:spacing w:val="2"/>
        </w:rPr>
      </w:pPr>
      <w:r w:rsidRPr="00BD484F">
        <w:rPr>
          <w:rFonts w:ascii="Arial" w:hAnsi="Arial" w:cs="Arial"/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D846F8" w:rsidRPr="00874ABE" w:rsidRDefault="002B378E" w:rsidP="002B378E">
      <w:pPr>
        <w:pStyle w:val="a3"/>
        <w:numPr>
          <w:ilvl w:val="0"/>
          <w:numId w:val="2"/>
        </w:numPr>
        <w:shd w:val="clear" w:color="auto" w:fill="FFFFFF"/>
        <w:spacing w:before="0" w:beforeAutospacing="0" w:after="360" w:afterAutospacing="0" w:line="285" w:lineRule="atLeast"/>
        <w:ind w:left="0" w:hanging="284"/>
        <w:textAlignment w:val="baseline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b/>
          <w:color w:val="000000"/>
          <w:spacing w:val="2"/>
        </w:rPr>
        <w:t>ТОО «</w:t>
      </w:r>
      <w:proofErr w:type="spellStart"/>
      <w:r>
        <w:rPr>
          <w:rFonts w:ascii="Arial" w:hAnsi="Arial" w:cs="Arial"/>
          <w:b/>
          <w:color w:val="000000"/>
          <w:spacing w:val="2"/>
        </w:rPr>
        <w:t>Halyk</w:t>
      </w:r>
      <w:proofErr w:type="spellEnd"/>
      <w:r>
        <w:rPr>
          <w:rFonts w:ascii="Arial" w:hAnsi="Arial" w:cs="Arial"/>
          <w:b/>
          <w:color w:val="000000"/>
          <w:spacing w:val="2"/>
        </w:rPr>
        <w:t xml:space="preserve"> </w:t>
      </w:r>
      <w:proofErr w:type="spellStart"/>
      <w:r>
        <w:rPr>
          <w:rFonts w:ascii="Arial" w:hAnsi="Arial" w:cs="Arial"/>
          <w:b/>
          <w:color w:val="000000"/>
          <w:spacing w:val="2"/>
        </w:rPr>
        <w:t>Medical</w:t>
      </w:r>
      <w:proofErr w:type="spellEnd"/>
      <w:r>
        <w:rPr>
          <w:rFonts w:ascii="Arial" w:hAnsi="Arial" w:cs="Arial"/>
          <w:b/>
          <w:color w:val="000000"/>
          <w:spacing w:val="2"/>
        </w:rPr>
        <w:t xml:space="preserve"> </w:t>
      </w:r>
      <w:proofErr w:type="spellStart"/>
      <w:r>
        <w:rPr>
          <w:rFonts w:ascii="Arial" w:hAnsi="Arial" w:cs="Arial"/>
          <w:b/>
          <w:color w:val="000000"/>
          <w:spacing w:val="2"/>
        </w:rPr>
        <w:t>Company</w:t>
      </w:r>
      <w:proofErr w:type="spellEnd"/>
      <w:r>
        <w:rPr>
          <w:rFonts w:ascii="Arial" w:hAnsi="Arial" w:cs="Arial"/>
          <w:b/>
          <w:color w:val="000000"/>
          <w:spacing w:val="2"/>
        </w:rPr>
        <w:t xml:space="preserve">», </w:t>
      </w:r>
      <w:proofErr w:type="spellStart"/>
      <w:r w:rsidRPr="002B378E">
        <w:rPr>
          <w:rFonts w:ascii="Arial" w:hAnsi="Arial" w:cs="Arial"/>
          <w:color w:val="000000"/>
          <w:spacing w:val="2"/>
        </w:rPr>
        <w:t>г.Алматы</w:t>
      </w:r>
      <w:proofErr w:type="spellEnd"/>
      <w:r w:rsidRPr="002B378E">
        <w:rPr>
          <w:rFonts w:ascii="Arial" w:hAnsi="Arial" w:cs="Arial"/>
          <w:color w:val="000000"/>
          <w:spacing w:val="2"/>
        </w:rPr>
        <w:t xml:space="preserve">, </w:t>
      </w:r>
      <w:proofErr w:type="spellStart"/>
      <w:r w:rsidRPr="002B378E">
        <w:rPr>
          <w:rFonts w:ascii="Arial" w:hAnsi="Arial" w:cs="Arial"/>
          <w:color w:val="000000"/>
          <w:spacing w:val="2"/>
        </w:rPr>
        <w:t>Медеуский</w:t>
      </w:r>
      <w:proofErr w:type="spellEnd"/>
      <w:r w:rsidRPr="002B378E">
        <w:rPr>
          <w:rFonts w:ascii="Arial" w:hAnsi="Arial" w:cs="Arial"/>
          <w:color w:val="000000"/>
          <w:spacing w:val="2"/>
        </w:rPr>
        <w:t xml:space="preserve"> район, улица </w:t>
      </w:r>
      <w:proofErr w:type="spellStart"/>
      <w:r w:rsidRPr="002B378E">
        <w:rPr>
          <w:rFonts w:ascii="Arial" w:hAnsi="Arial" w:cs="Arial"/>
          <w:color w:val="000000"/>
          <w:spacing w:val="2"/>
        </w:rPr>
        <w:t>Гурилева</w:t>
      </w:r>
      <w:proofErr w:type="spellEnd"/>
      <w:r w:rsidRPr="002B378E">
        <w:rPr>
          <w:rFonts w:ascii="Arial" w:hAnsi="Arial" w:cs="Arial"/>
          <w:color w:val="000000"/>
          <w:spacing w:val="2"/>
        </w:rPr>
        <w:t>, дом 106А</w:t>
      </w:r>
      <w:r w:rsidRPr="002B378E">
        <w:rPr>
          <w:rFonts w:ascii="Arial" w:hAnsi="Arial" w:cs="Arial"/>
          <w:b/>
          <w:color w:val="000000"/>
          <w:spacing w:val="2"/>
        </w:rPr>
        <w:t xml:space="preserve"> </w:t>
      </w:r>
      <w:r w:rsidR="00D846F8" w:rsidRPr="00874ABE">
        <w:rPr>
          <w:rFonts w:ascii="Arial" w:hAnsi="Arial" w:cs="Arial"/>
          <w:color w:val="000000"/>
          <w:spacing w:val="2"/>
        </w:rPr>
        <w:t>по лотам №1, №</w:t>
      </w:r>
      <w:r>
        <w:rPr>
          <w:rFonts w:ascii="Arial" w:hAnsi="Arial" w:cs="Arial"/>
          <w:color w:val="000000"/>
          <w:spacing w:val="2"/>
        </w:rPr>
        <w:t xml:space="preserve">2, </w:t>
      </w:r>
      <w:r w:rsidRPr="00874ABE">
        <w:rPr>
          <w:rFonts w:ascii="Arial" w:hAnsi="Arial" w:cs="Arial"/>
          <w:color w:val="000000"/>
          <w:spacing w:val="2"/>
        </w:rPr>
        <w:t>№</w:t>
      </w:r>
      <w:r>
        <w:rPr>
          <w:rFonts w:ascii="Arial" w:hAnsi="Arial" w:cs="Arial"/>
          <w:color w:val="000000"/>
          <w:spacing w:val="2"/>
        </w:rPr>
        <w:t>3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4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5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6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7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8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9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10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11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12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13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14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15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16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17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18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19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20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21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22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23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24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25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26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27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28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29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30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31</w:t>
      </w:r>
      <w:r w:rsidRPr="00874ABE">
        <w:rPr>
          <w:rFonts w:ascii="Arial" w:hAnsi="Arial" w:cs="Arial"/>
          <w:color w:val="000000"/>
          <w:spacing w:val="2"/>
        </w:rPr>
        <w:t>, №</w:t>
      </w:r>
      <w:r>
        <w:rPr>
          <w:rFonts w:ascii="Arial" w:hAnsi="Arial" w:cs="Arial"/>
          <w:color w:val="000000"/>
          <w:spacing w:val="2"/>
        </w:rPr>
        <w:t>32,</w:t>
      </w:r>
      <w:r w:rsidR="00D846F8" w:rsidRPr="00874ABE">
        <w:rPr>
          <w:rFonts w:ascii="Arial" w:hAnsi="Arial" w:cs="Arial"/>
          <w:color w:val="000000"/>
          <w:spacing w:val="2"/>
        </w:rPr>
        <w:t xml:space="preserve"> </w:t>
      </w:r>
      <w:r w:rsidR="00D846F8" w:rsidRPr="00BD484F">
        <w:rPr>
          <w:rFonts w:ascii="Arial" w:hAnsi="Arial" w:cs="Arial"/>
          <w:b/>
          <w:color w:val="000000"/>
          <w:spacing w:val="2"/>
          <w:u w:val="single"/>
        </w:rPr>
        <w:t xml:space="preserve">цена договора </w:t>
      </w:r>
      <w:r>
        <w:rPr>
          <w:rFonts w:ascii="Arial" w:hAnsi="Arial" w:cs="Arial"/>
          <w:b/>
          <w:color w:val="000000"/>
          <w:spacing w:val="2"/>
          <w:u w:val="single"/>
        </w:rPr>
        <w:t>26 851 900,00</w:t>
      </w:r>
      <w:r w:rsidR="00D846F8" w:rsidRPr="00BD484F">
        <w:rPr>
          <w:rFonts w:ascii="Arial" w:hAnsi="Arial" w:cs="Arial"/>
          <w:b/>
          <w:color w:val="000000"/>
          <w:spacing w:val="2"/>
          <w:u w:val="single"/>
        </w:rPr>
        <w:t xml:space="preserve"> тенге</w:t>
      </w:r>
      <w:r w:rsidR="00D846F8" w:rsidRPr="00874ABE">
        <w:rPr>
          <w:rFonts w:ascii="Arial" w:hAnsi="Arial" w:cs="Arial"/>
          <w:color w:val="000000"/>
          <w:spacing w:val="2"/>
        </w:rPr>
        <w:t>;</w:t>
      </w:r>
    </w:p>
    <w:p w:rsidR="00BD484F" w:rsidRPr="002B378E" w:rsidRDefault="006E539E" w:rsidP="00BD484F">
      <w:pPr>
        <w:pStyle w:val="a3"/>
        <w:shd w:val="clear" w:color="auto" w:fill="FFFFFF"/>
        <w:spacing w:before="0" w:beforeAutospacing="0" w:after="360" w:afterAutospacing="0" w:line="285" w:lineRule="atLeast"/>
        <w:ind w:left="-851" w:hanging="567"/>
        <w:jc w:val="both"/>
        <w:textAlignment w:val="baseline"/>
        <w:rPr>
          <w:rFonts w:ascii="Arial" w:hAnsi="Arial" w:cs="Arial"/>
          <w:b/>
          <w:color w:val="000000"/>
          <w:spacing w:val="2"/>
          <w:lang w:val="en-US"/>
        </w:rPr>
      </w:pPr>
      <w:r w:rsidRPr="00BD484F">
        <w:rPr>
          <w:rFonts w:ascii="Arial" w:hAnsi="Arial" w:cs="Arial"/>
          <w:b/>
          <w:color w:val="000000"/>
          <w:spacing w:val="2"/>
          <w:lang w:val="en-US"/>
        </w:rPr>
        <w:t>     </w:t>
      </w:r>
      <w:r w:rsidRPr="00BD484F">
        <w:rPr>
          <w:rFonts w:ascii="Arial" w:hAnsi="Arial" w:cs="Arial"/>
          <w:b/>
          <w:color w:val="000000"/>
          <w:spacing w:val="2"/>
        </w:rPr>
        <w:t xml:space="preserve"> 4) наименование потенциальных поставщиков, присутствовавших </w:t>
      </w:r>
      <w:r w:rsidR="002B378E" w:rsidRPr="00BD484F">
        <w:rPr>
          <w:rFonts w:ascii="Arial" w:hAnsi="Arial" w:cs="Arial"/>
          <w:b/>
          <w:color w:val="000000"/>
          <w:spacing w:val="2"/>
        </w:rPr>
        <w:t>при процедуре вскрытия кон</w:t>
      </w:r>
      <w:r w:rsidR="002B378E">
        <w:rPr>
          <w:rFonts w:ascii="Arial" w:hAnsi="Arial" w:cs="Arial"/>
          <w:b/>
          <w:color w:val="000000"/>
          <w:spacing w:val="2"/>
        </w:rPr>
        <w:t>вертов с ценовыми предложениями</w:t>
      </w:r>
      <w:r w:rsidR="002B378E" w:rsidRPr="00874ABE">
        <w:rPr>
          <w:rFonts w:ascii="Arial" w:hAnsi="Arial" w:cs="Arial"/>
          <w:color w:val="000000"/>
          <w:spacing w:val="2"/>
        </w:rPr>
        <w:t>;</w:t>
      </w:r>
    </w:p>
    <w:p w:rsidR="002B378E" w:rsidRPr="002B378E" w:rsidRDefault="002B378E" w:rsidP="002B378E">
      <w:pPr>
        <w:pStyle w:val="a3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rFonts w:ascii="Arial" w:hAnsi="Arial" w:cs="Arial"/>
          <w:color w:val="000000"/>
          <w:spacing w:val="2"/>
        </w:rPr>
      </w:pPr>
      <w:r w:rsidRPr="002B378E">
        <w:rPr>
          <w:rFonts w:ascii="Arial" w:hAnsi="Arial" w:cs="Arial"/>
          <w:color w:val="000000"/>
          <w:spacing w:val="2"/>
        </w:rPr>
        <w:t>П</w:t>
      </w:r>
      <w:r w:rsidRPr="002B378E">
        <w:rPr>
          <w:rFonts w:ascii="Arial" w:hAnsi="Arial" w:cs="Arial"/>
          <w:color w:val="000000"/>
          <w:spacing w:val="2"/>
        </w:rPr>
        <w:t>отенциальны</w:t>
      </w:r>
      <w:r w:rsidRPr="002B378E">
        <w:rPr>
          <w:rFonts w:ascii="Arial" w:hAnsi="Arial" w:cs="Arial"/>
          <w:color w:val="000000"/>
          <w:spacing w:val="2"/>
        </w:rPr>
        <w:t>е</w:t>
      </w:r>
      <w:r w:rsidRPr="002B378E">
        <w:rPr>
          <w:rFonts w:ascii="Arial" w:hAnsi="Arial" w:cs="Arial"/>
          <w:color w:val="000000"/>
          <w:spacing w:val="2"/>
        </w:rPr>
        <w:t xml:space="preserve"> поставщик</w:t>
      </w:r>
      <w:r w:rsidRPr="002B378E">
        <w:rPr>
          <w:rFonts w:ascii="Arial" w:hAnsi="Arial" w:cs="Arial"/>
          <w:color w:val="000000"/>
          <w:spacing w:val="2"/>
        </w:rPr>
        <w:t xml:space="preserve">и не присутствовали </w:t>
      </w:r>
      <w:r w:rsidRPr="002B378E">
        <w:rPr>
          <w:rFonts w:ascii="Arial" w:hAnsi="Arial" w:cs="Arial"/>
          <w:color w:val="000000"/>
          <w:spacing w:val="2"/>
        </w:rPr>
        <w:t>при процедуре вскрытия конвертов с ценовыми предложениями</w:t>
      </w:r>
    </w:p>
    <w:p w:rsidR="002B378E" w:rsidRDefault="002B378E" w:rsidP="002B378E">
      <w:pPr>
        <w:pStyle w:val="a3"/>
        <w:shd w:val="clear" w:color="auto" w:fill="FFFFFF"/>
        <w:spacing w:before="0" w:beforeAutospacing="0" w:after="360" w:afterAutospacing="0" w:line="285" w:lineRule="atLeast"/>
        <w:ind w:left="-851" w:firstLine="851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</w:p>
    <w:sectPr w:rsidR="002B378E" w:rsidSect="002B378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C0F63"/>
    <w:multiLevelType w:val="hybridMultilevel"/>
    <w:tmpl w:val="61CE8498"/>
    <w:lvl w:ilvl="0" w:tplc="54CEC2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AF15EC"/>
    <w:multiLevelType w:val="hybridMultilevel"/>
    <w:tmpl w:val="48101F66"/>
    <w:lvl w:ilvl="0" w:tplc="29F4C26C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63F504AD"/>
    <w:multiLevelType w:val="hybridMultilevel"/>
    <w:tmpl w:val="78FCB890"/>
    <w:lvl w:ilvl="0" w:tplc="67660C7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39E"/>
    <w:rsid w:val="0022548F"/>
    <w:rsid w:val="002B378E"/>
    <w:rsid w:val="003E6474"/>
    <w:rsid w:val="003F3900"/>
    <w:rsid w:val="004B665B"/>
    <w:rsid w:val="004C26DD"/>
    <w:rsid w:val="006E539E"/>
    <w:rsid w:val="00834512"/>
    <w:rsid w:val="00845D7F"/>
    <w:rsid w:val="00874ABE"/>
    <w:rsid w:val="008B6167"/>
    <w:rsid w:val="00B04F0B"/>
    <w:rsid w:val="00BC3989"/>
    <w:rsid w:val="00BD484F"/>
    <w:rsid w:val="00D846F8"/>
    <w:rsid w:val="00DF7CAC"/>
    <w:rsid w:val="00F6272A"/>
    <w:rsid w:val="00F740A8"/>
    <w:rsid w:val="00FA0751"/>
    <w:rsid w:val="00FE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E9F93"/>
  <w15:chartTrackingRefBased/>
  <w15:docId w15:val="{7D306550-08BA-4030-9852-1D773CB1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5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4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2B707-79BF-4A45-84EB-09F444AC9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5723</Words>
  <Characters>32622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cp:lastPrinted>2023-02-20T06:48:00Z</cp:lastPrinted>
  <dcterms:created xsi:type="dcterms:W3CDTF">2023-02-20T10:33:00Z</dcterms:created>
  <dcterms:modified xsi:type="dcterms:W3CDTF">2023-02-20T10:33:00Z</dcterms:modified>
</cp:coreProperties>
</file>